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01A76">
      <w:pPr>
        <w:widowControl/>
        <w:adjustRightInd w:val="0"/>
        <w:snapToGrid w:val="0"/>
        <w:jc w:val="center"/>
        <w:rPr>
          <w:rFonts w:hint="default" w:ascii="Times New Roman" w:hAnsi="Times New Roman" w:eastAsia="宋体" w:cs="Times New Roman"/>
          <w:color w:val="auto"/>
          <w:sz w:val="24"/>
          <w:szCs w:val="24"/>
          <w:highlight w:val="none"/>
        </w:rPr>
      </w:pPr>
      <w:bookmarkStart w:id="0" w:name="_Hlk42070157"/>
      <w:r>
        <w:rPr>
          <w:rFonts w:hint="default" w:ascii="Times New Roman" w:hAnsi="Times New Roman" w:eastAsia="宋体" w:cs="Times New Roman"/>
          <w:color w:val="auto"/>
          <w:sz w:val="24"/>
          <w:szCs w:val="24"/>
          <w:highlight w:val="none"/>
        </w:rPr>
        <w:t>泰安科赛尔化学科技有限公司</w:t>
      </w:r>
      <w:bookmarkEnd w:id="0"/>
    </w:p>
    <w:p w14:paraId="0BBE8437">
      <w:pPr>
        <w:widowControl/>
        <w:adjustRightInd w:val="0"/>
        <w:snapToGrid w:val="0"/>
        <w:jc w:val="center"/>
        <w:rPr>
          <w:rFonts w:hint="default" w:ascii="Times New Roman" w:hAnsi="Times New Roman" w:eastAsia="宋体" w:cs="Times New Roman"/>
          <w:color w:val="auto"/>
          <w:sz w:val="24"/>
          <w:szCs w:val="22"/>
          <w:highlight w:val="none"/>
          <w:lang w:val="zh-CN" w:eastAsia="zh-CN"/>
        </w:rPr>
      </w:pPr>
      <w:r>
        <w:rPr>
          <w:rFonts w:hint="default" w:ascii="Times New Roman" w:hAnsi="Times New Roman" w:eastAsia="宋体" w:cs="Times New Roman"/>
          <w:color w:val="auto"/>
          <w:sz w:val="24"/>
          <w:szCs w:val="22"/>
          <w:highlight w:val="none"/>
          <w:lang w:val="zh-CN" w:eastAsia="zh-CN"/>
        </w:rPr>
        <w:t>回收利用正大焦化驰放气及甲醇制氢提纯加工项目(</w:t>
      </w:r>
      <w:r>
        <w:rPr>
          <w:rFonts w:hint="eastAsia" w:cs="Times New Roman"/>
          <w:color w:val="auto"/>
          <w:sz w:val="24"/>
          <w:szCs w:val="22"/>
          <w:highlight w:val="none"/>
          <w:lang w:val="en-US" w:eastAsia="zh-CN"/>
        </w:rPr>
        <w:t>四</w:t>
      </w:r>
      <w:r>
        <w:rPr>
          <w:rFonts w:hint="default" w:ascii="Times New Roman" w:hAnsi="Times New Roman" w:eastAsia="宋体" w:cs="Times New Roman"/>
          <w:color w:val="auto"/>
          <w:sz w:val="24"/>
          <w:szCs w:val="22"/>
          <w:highlight w:val="none"/>
          <w:lang w:val="zh-CN" w:eastAsia="zh-CN"/>
        </w:rPr>
        <w:t>期)</w:t>
      </w:r>
    </w:p>
    <w:p w14:paraId="10B1FC58">
      <w:pPr>
        <w:widowControl/>
        <w:adjustRightInd w:val="0"/>
        <w:snapToGrid w:val="0"/>
        <w:jc w:val="center"/>
        <w:rPr>
          <w:b/>
          <w:color w:val="auto"/>
          <w:highlight w:val="none"/>
        </w:rPr>
      </w:pPr>
      <w:r>
        <w:rPr>
          <w:b w:val="0"/>
          <w:bCs/>
          <w:color w:val="auto"/>
          <w:highlight w:val="none"/>
        </w:rPr>
        <w:t>环境影响评价</w:t>
      </w:r>
      <w:r>
        <w:rPr>
          <w:rFonts w:hint="eastAsia"/>
          <w:b w:val="0"/>
          <w:bCs/>
          <w:color w:val="auto"/>
          <w:highlight w:val="none"/>
          <w:lang w:val="en-US" w:eastAsia="zh-CN"/>
        </w:rPr>
        <w:t>公众参与</w:t>
      </w:r>
      <w:r>
        <w:rPr>
          <w:b w:val="0"/>
          <w:bCs/>
          <w:color w:val="auto"/>
          <w:highlight w:val="none"/>
        </w:rPr>
        <w:t>公示</w:t>
      </w:r>
    </w:p>
    <w:p w14:paraId="7CFE5F48">
      <w:pPr>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color w:val="auto"/>
        </w:rPr>
      </w:pPr>
      <w:r>
        <w:rPr>
          <w:color w:val="auto"/>
          <w:highlight w:val="none"/>
        </w:rPr>
        <w:t>根据《环境影响评价公众参与办法》等相关规定，现将“</w:t>
      </w:r>
      <w:r>
        <w:rPr>
          <w:rFonts w:hint="default" w:ascii="Times New Roman" w:hAnsi="Times New Roman" w:eastAsia="宋体" w:cs="Times New Roman"/>
          <w:color w:val="auto"/>
          <w:sz w:val="24"/>
          <w:szCs w:val="24"/>
          <w:highlight w:val="none"/>
        </w:rPr>
        <w:t>泰安科赛尔化学科技有限公司</w:t>
      </w:r>
      <w:r>
        <w:rPr>
          <w:rFonts w:hint="default" w:ascii="Times New Roman" w:hAnsi="Times New Roman" w:eastAsia="宋体" w:cs="Times New Roman"/>
          <w:color w:val="auto"/>
          <w:sz w:val="24"/>
          <w:szCs w:val="22"/>
          <w:highlight w:val="none"/>
          <w:lang w:val="zh-CN" w:eastAsia="zh-CN"/>
        </w:rPr>
        <w:t>回收利用正大焦化驰放气及甲醇制氢提纯加工项目(</w:t>
      </w:r>
      <w:r>
        <w:rPr>
          <w:rFonts w:hint="eastAsia" w:cs="Times New Roman"/>
          <w:color w:val="auto"/>
          <w:sz w:val="24"/>
          <w:szCs w:val="22"/>
          <w:highlight w:val="none"/>
          <w:lang w:val="en-US" w:eastAsia="zh-CN"/>
        </w:rPr>
        <w:t>四</w:t>
      </w:r>
      <w:r>
        <w:rPr>
          <w:rFonts w:hint="default" w:ascii="Times New Roman" w:hAnsi="Times New Roman" w:eastAsia="宋体" w:cs="Times New Roman"/>
          <w:color w:val="auto"/>
          <w:sz w:val="24"/>
          <w:szCs w:val="22"/>
          <w:highlight w:val="none"/>
          <w:lang w:val="zh-CN" w:eastAsia="zh-CN"/>
        </w:rPr>
        <w:t>期)</w:t>
      </w:r>
      <w:r>
        <w:rPr>
          <w:color w:val="auto"/>
          <w:highlight w:val="none"/>
        </w:rPr>
        <w:t>”环境</w:t>
      </w:r>
      <w:r>
        <w:rPr>
          <w:color w:val="auto"/>
        </w:rPr>
        <w:t>影响评价事宜进行信息公开，内容如下：</w:t>
      </w:r>
    </w:p>
    <w:p w14:paraId="1CEB2524">
      <w:pPr>
        <w:widowControl/>
        <w:adjustRightInd w:val="0"/>
        <w:snapToGrid w:val="0"/>
        <w:ind w:firstLine="482" w:firstLineChars="200"/>
        <w:rPr>
          <w:b/>
          <w:color w:val="auto"/>
          <w:kern w:val="0"/>
        </w:rPr>
      </w:pPr>
      <w:r>
        <w:rPr>
          <w:b/>
          <w:color w:val="auto"/>
          <w:kern w:val="0"/>
        </w:rPr>
        <w:t>一、建设项目基本情况</w:t>
      </w:r>
    </w:p>
    <w:p w14:paraId="2D5FA202">
      <w:pPr>
        <w:tabs>
          <w:tab w:val="center" w:pos="4645"/>
        </w:tabs>
        <w:spacing w:line="360" w:lineRule="auto"/>
        <w:ind w:firstLine="480" w:firstLineChars="200"/>
        <w:rPr>
          <w:sz w:val="24"/>
          <w:szCs w:val="24"/>
        </w:rPr>
      </w:pPr>
      <w:bookmarkStart w:id="1" w:name="_Hlk44181894"/>
      <w:r>
        <w:rPr>
          <w:rFonts w:hint="default" w:ascii="Times New Roman" w:hAnsi="Times New Roman" w:eastAsia="宋体" w:cs="Times New Roman"/>
          <w:color w:val="auto"/>
          <w:sz w:val="24"/>
          <w:szCs w:val="24"/>
          <w:highlight w:val="none"/>
        </w:rPr>
        <w:t>泰安科赛尔化学科技有限公司位于</w:t>
      </w:r>
      <w:r>
        <w:rPr>
          <w:rFonts w:hint="default" w:ascii="Times New Roman" w:hAnsi="Times New Roman" w:eastAsia="宋体" w:cs="Times New Roman"/>
          <w:color w:val="auto"/>
          <w:sz w:val="24"/>
          <w:szCs w:val="24"/>
          <w:highlight w:val="none"/>
          <w:lang w:val="zh-CN"/>
        </w:rPr>
        <w:t>新泰化工产业园</w:t>
      </w:r>
      <w:r>
        <w:rPr>
          <w:rFonts w:hint="default" w:ascii="Times New Roman" w:hAnsi="Times New Roman" w:eastAsia="宋体" w:cs="Times New Roman"/>
          <w:color w:val="auto"/>
          <w:sz w:val="24"/>
          <w:szCs w:val="24"/>
          <w:highlight w:val="none"/>
        </w:rPr>
        <w:t>，公司</w:t>
      </w:r>
      <w:r>
        <w:rPr>
          <w:rFonts w:hint="default" w:ascii="Times New Roman" w:hAnsi="Times New Roman" w:eastAsia="宋体" w:cs="Times New Roman"/>
          <w:color w:val="auto"/>
          <w:sz w:val="24"/>
          <w:szCs w:val="20"/>
          <w:highlight w:val="none"/>
          <w:lang w:val="en-US" w:eastAsia="zh-CN"/>
        </w:rPr>
        <w:t>拟投资</w:t>
      </w:r>
      <w:r>
        <w:rPr>
          <w:rFonts w:hint="eastAsia" w:cs="Times New Roman"/>
          <w:color w:val="auto"/>
          <w:sz w:val="24"/>
          <w:szCs w:val="20"/>
          <w:highlight w:val="none"/>
          <w:lang w:val="en-US" w:eastAsia="zh-CN"/>
        </w:rPr>
        <w:t>1500</w:t>
      </w:r>
      <w:r>
        <w:rPr>
          <w:rFonts w:hint="default" w:ascii="Times New Roman" w:hAnsi="Times New Roman" w:eastAsia="宋体" w:cs="Times New Roman"/>
          <w:color w:val="auto"/>
          <w:sz w:val="24"/>
          <w:szCs w:val="20"/>
          <w:highlight w:val="none"/>
          <w:lang w:val="en-US" w:eastAsia="zh-CN"/>
        </w:rPr>
        <w:t>万元在</w:t>
      </w:r>
      <w:r>
        <w:rPr>
          <w:rFonts w:hint="eastAsia" w:ascii="Times New Roman" w:hAnsi="Times New Roman" w:eastAsia="宋体" w:cs="Times New Roman"/>
          <w:color w:val="auto"/>
          <w:sz w:val="24"/>
          <w:szCs w:val="20"/>
          <w:highlight w:val="none"/>
          <w:lang w:val="en-US" w:eastAsia="zh-CN"/>
        </w:rPr>
        <w:t>现有</w:t>
      </w:r>
      <w:r>
        <w:rPr>
          <w:rFonts w:hint="default" w:ascii="Times New Roman" w:hAnsi="Times New Roman" w:eastAsia="宋体" w:cs="Times New Roman"/>
          <w:color w:val="auto"/>
          <w:sz w:val="24"/>
          <w:szCs w:val="22"/>
          <w:highlight w:val="none"/>
        </w:rPr>
        <w:t>厂区内建设</w:t>
      </w:r>
      <w:r>
        <w:rPr>
          <w:rFonts w:hint="default" w:ascii="Times New Roman" w:hAnsi="Times New Roman" w:eastAsia="宋体" w:cs="Times New Roman"/>
          <w:color w:val="auto"/>
          <w:sz w:val="24"/>
          <w:szCs w:val="22"/>
          <w:highlight w:val="none"/>
          <w:lang w:val="zh-CN" w:eastAsia="zh-CN"/>
        </w:rPr>
        <w:t>回收利用正大焦化驰放气及甲醇制氢提纯加工项目(</w:t>
      </w:r>
      <w:r>
        <w:rPr>
          <w:rFonts w:hint="eastAsia" w:cs="Times New Roman"/>
          <w:color w:val="auto"/>
          <w:sz w:val="24"/>
          <w:szCs w:val="22"/>
          <w:highlight w:val="none"/>
          <w:lang w:val="en-US" w:eastAsia="zh-CN"/>
        </w:rPr>
        <w:t>四</w:t>
      </w:r>
      <w:r>
        <w:rPr>
          <w:rFonts w:hint="default" w:ascii="Times New Roman" w:hAnsi="Times New Roman" w:eastAsia="宋体" w:cs="Times New Roman"/>
          <w:color w:val="auto"/>
          <w:sz w:val="24"/>
          <w:szCs w:val="22"/>
          <w:highlight w:val="none"/>
          <w:lang w:val="zh-CN" w:eastAsia="zh-CN"/>
        </w:rPr>
        <w:t>期)</w:t>
      </w:r>
      <w:r>
        <w:rPr>
          <w:rFonts w:hint="default" w:ascii="Times New Roman" w:hAnsi="Times New Roman" w:eastAsia="宋体" w:cs="Times New Roman"/>
          <w:color w:val="auto"/>
          <w:sz w:val="24"/>
          <w:szCs w:val="22"/>
          <w:highlight w:val="none"/>
          <w:lang w:eastAsia="zh-CN"/>
        </w:rPr>
        <w:t>。</w:t>
      </w:r>
      <w:r>
        <w:rPr>
          <w:rFonts w:hint="eastAsia" w:cs="Times New Roman"/>
          <w:color w:val="auto"/>
          <w:kern w:val="0"/>
          <w:sz w:val="24"/>
          <w:szCs w:val="24"/>
          <w:highlight w:val="none"/>
          <w:lang w:val="en-US" w:eastAsia="zh-CN" w:bidi="ar-SA"/>
        </w:rPr>
        <w:t>项目位于二期项目未建设的</w:t>
      </w:r>
      <w:r>
        <w:rPr>
          <w:rFonts w:hint="eastAsia" w:cs="Times New Roman"/>
          <w:color w:val="auto"/>
          <w:sz w:val="24"/>
          <w:szCs w:val="22"/>
          <w:highlight w:val="none"/>
          <w:lang w:val="en-US" w:eastAsia="zh-CN"/>
        </w:rPr>
        <w:t>甲醇制氢</w:t>
      </w:r>
      <w:r>
        <w:rPr>
          <w:rFonts w:hint="eastAsia" w:cs="Times New Roman"/>
          <w:color w:val="auto"/>
          <w:kern w:val="0"/>
          <w:sz w:val="24"/>
          <w:szCs w:val="24"/>
          <w:highlight w:val="none"/>
          <w:lang w:val="en-US" w:eastAsia="zh-CN" w:bidi="ar-SA"/>
        </w:rPr>
        <w:t>反应器</w:t>
      </w:r>
      <w:r>
        <w:rPr>
          <w:rFonts w:hint="eastAsia" w:cs="Times New Roman"/>
          <w:color w:val="auto"/>
          <w:sz w:val="24"/>
          <w:szCs w:val="22"/>
          <w:highlight w:val="none"/>
          <w:lang w:val="en-US" w:eastAsia="zh-CN"/>
        </w:rPr>
        <w:t>装置区</w:t>
      </w:r>
      <w:r>
        <w:rPr>
          <w:rFonts w:hint="eastAsia" w:cs="Times New Roman"/>
          <w:color w:val="auto"/>
          <w:sz w:val="24"/>
          <w:szCs w:val="24"/>
          <w:highlight w:val="none"/>
          <w:vertAlign w:val="baseline"/>
          <w:lang w:eastAsia="zh-CN"/>
        </w:rPr>
        <w:t>，</w:t>
      </w:r>
      <w:r>
        <w:rPr>
          <w:rFonts w:hint="default" w:ascii="Times New Roman" w:hAnsi="Times New Roman" w:cs="Times New Roman"/>
          <w:color w:val="auto"/>
          <w:sz w:val="24"/>
          <w:highlight w:val="none"/>
        </w:rPr>
        <w:t>建设</w:t>
      </w:r>
      <w:r>
        <w:rPr>
          <w:rFonts w:hint="eastAsia" w:ascii="Times New Roman" w:hAnsi="Times New Roman" w:cs="Times New Roman"/>
          <w:color w:val="auto"/>
          <w:sz w:val="24"/>
          <w:highlight w:val="none"/>
          <w:lang w:val="en-US" w:eastAsia="zh-CN"/>
        </w:rPr>
        <w:t>1套</w:t>
      </w:r>
      <w:r>
        <w:rPr>
          <w:rFonts w:hint="eastAsia" w:cs="Times New Roman"/>
          <w:color w:val="auto"/>
          <w:sz w:val="24"/>
          <w:highlight w:val="none"/>
          <w:lang w:val="en-US" w:eastAsia="zh-CN"/>
        </w:rPr>
        <w:t>甲醇水蒸气裂解</w:t>
      </w:r>
      <w:r>
        <w:rPr>
          <w:rFonts w:hint="default" w:ascii="Times New Roman" w:hAnsi="Times New Roman" w:cs="Times New Roman"/>
          <w:color w:val="auto"/>
          <w:sz w:val="24"/>
          <w:highlight w:val="none"/>
        </w:rPr>
        <w:t>制氢</w:t>
      </w:r>
      <w:r>
        <w:rPr>
          <w:rFonts w:hint="eastAsia" w:ascii="Times New Roman" w:hAnsi="Times New Roman" w:cs="Times New Roman"/>
          <w:color w:val="auto"/>
          <w:sz w:val="24"/>
          <w:highlight w:val="none"/>
          <w:lang w:val="en-US" w:eastAsia="zh-CN"/>
        </w:rPr>
        <w:t>装置</w:t>
      </w:r>
      <w:r>
        <w:rPr>
          <w:rFonts w:hint="default" w:ascii="Times New Roman" w:hAnsi="Times New Roman" w:cs="Times New Roman"/>
          <w:color w:val="auto"/>
          <w:sz w:val="24"/>
          <w:highlight w:val="none"/>
        </w:rPr>
        <w:t>，</w:t>
      </w:r>
      <w:r>
        <w:rPr>
          <w:rFonts w:hint="eastAsia" w:cs="Times New Roman"/>
          <w:bCs/>
          <w:color w:val="auto"/>
          <w:sz w:val="24"/>
          <w:szCs w:val="24"/>
          <w:highlight w:val="none"/>
          <w:lang w:val="en-US" w:eastAsia="zh-CN"/>
        </w:rPr>
        <w:t>生产1300</w:t>
      </w:r>
      <w:r>
        <w:rPr>
          <w:rFonts w:hint="eastAsia" w:cs="Times New Roman"/>
          <w:color w:val="auto"/>
          <w:sz w:val="24"/>
          <w:szCs w:val="24"/>
          <w:highlight w:val="none"/>
          <w:lang w:val="en-US" w:eastAsia="zh-CN"/>
        </w:rPr>
        <w:t>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 xml:space="preserve">/h 、832t/a </w:t>
      </w:r>
      <w:r>
        <w:rPr>
          <w:rFonts w:hint="eastAsia" w:cs="Times New Roman"/>
          <w:bCs/>
          <w:color w:val="auto"/>
          <w:sz w:val="24"/>
          <w:szCs w:val="24"/>
          <w:highlight w:val="none"/>
          <w:lang w:val="en-US" w:eastAsia="zh-CN"/>
        </w:rPr>
        <w:t>99.999%</w:t>
      </w:r>
      <w:r>
        <w:rPr>
          <w:rFonts w:hint="eastAsia" w:cs="Times New Roman"/>
          <w:bCs/>
          <w:color w:val="auto"/>
          <w:sz w:val="24"/>
          <w:szCs w:val="24"/>
          <w:highlight w:val="none"/>
          <w:lang w:eastAsia="zh-CN"/>
        </w:rPr>
        <w:t>高纯氢，</w:t>
      </w:r>
      <w:r>
        <w:rPr>
          <w:rFonts w:hint="eastAsia" w:ascii="Times New Roman" w:hAnsi="Times New Roman" w:cs="Times New Roman"/>
          <w:color w:val="auto"/>
          <w:sz w:val="24"/>
          <w:highlight w:val="none"/>
          <w:lang w:val="en-US" w:eastAsia="zh-CN"/>
        </w:rPr>
        <w:t>公辅工程及环保设施依托现有及在建工程</w:t>
      </w:r>
      <w:r>
        <w:rPr>
          <w:rFonts w:hint="default" w:ascii="Times New Roman" w:hAnsi="Times New Roman" w:cs="Times New Roman"/>
          <w:color w:val="auto"/>
          <w:sz w:val="24"/>
          <w:highlight w:val="none"/>
        </w:rPr>
        <w:t>。</w:t>
      </w:r>
      <w:r>
        <w:rPr>
          <w:rFonts w:hint="default" w:ascii="Times New Roman" w:hAnsi="Times New Roman" w:eastAsia="宋体" w:cs="Times New Roman"/>
          <w:color w:val="auto"/>
          <w:sz w:val="24"/>
          <w:szCs w:val="22"/>
          <w:highlight w:val="none"/>
          <w:lang w:val="en-US" w:eastAsia="zh-CN"/>
        </w:rPr>
        <w:t>项目</w:t>
      </w:r>
      <w:r>
        <w:rPr>
          <w:rFonts w:hint="eastAsia" w:ascii="Times New Roman" w:hAnsi="Times New Roman" w:cs="Times New Roman"/>
          <w:color w:val="auto"/>
          <w:sz w:val="24"/>
          <w:szCs w:val="22"/>
          <w:highlight w:val="none"/>
          <w:lang w:val="en-US" w:eastAsia="zh-CN"/>
        </w:rPr>
        <w:t>不</w:t>
      </w:r>
      <w:r>
        <w:rPr>
          <w:rFonts w:hint="default" w:ascii="Times New Roman" w:hAnsi="Times New Roman" w:eastAsia="宋体" w:cs="Times New Roman"/>
          <w:color w:val="auto"/>
          <w:sz w:val="24"/>
          <w:szCs w:val="22"/>
          <w:highlight w:val="none"/>
          <w:lang w:val="en-US" w:eastAsia="zh-CN"/>
        </w:rPr>
        <w:t>新增劳动定员，实行四班三运转，每班8小时，年工作300天。项目建设周期</w:t>
      </w:r>
      <w:r>
        <w:rPr>
          <w:rFonts w:hint="eastAsia" w:ascii="Times New Roman" w:hAnsi="Times New Roman" w:cs="Times New Roman"/>
          <w:color w:val="auto"/>
          <w:sz w:val="24"/>
          <w:szCs w:val="22"/>
          <w:highlight w:val="none"/>
          <w:lang w:val="en-US" w:eastAsia="zh-CN"/>
        </w:rPr>
        <w:t>6</w:t>
      </w:r>
      <w:r>
        <w:rPr>
          <w:rFonts w:hint="default" w:ascii="Times New Roman" w:hAnsi="Times New Roman" w:eastAsia="宋体" w:cs="Times New Roman"/>
          <w:color w:val="auto"/>
          <w:sz w:val="24"/>
          <w:szCs w:val="22"/>
          <w:highlight w:val="none"/>
          <w:lang w:val="en-US" w:eastAsia="zh-CN"/>
        </w:rPr>
        <w:t>个月</w:t>
      </w:r>
      <w:r>
        <w:rPr>
          <w:sz w:val="24"/>
          <w:szCs w:val="24"/>
        </w:rPr>
        <w:t>。</w:t>
      </w:r>
      <w:bookmarkEnd w:id="1"/>
    </w:p>
    <w:p w14:paraId="7DC6B1C6">
      <w:pPr>
        <w:pStyle w:val="14"/>
        <w:spacing w:line="360" w:lineRule="auto"/>
        <w:jc w:val="left"/>
        <w:rPr>
          <w:sz w:val="24"/>
          <w:szCs w:val="24"/>
          <w:highlight w:val="none"/>
        </w:rPr>
      </w:pPr>
      <w:r>
        <w:rPr>
          <w:rFonts w:hint="default" w:ascii="Times New Roman" w:hAnsi="Times New Roman" w:eastAsia="宋体" w:cs="Times New Roman"/>
          <w:color w:val="auto"/>
          <w:sz w:val="24"/>
          <w:szCs w:val="24"/>
          <w:highlight w:val="none"/>
        </w:rPr>
        <w:t>根据《产业结构调整指导目录</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20</w:t>
      </w:r>
      <w:r>
        <w:rPr>
          <w:rFonts w:hint="eastAsia"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rPr>
        <w:t>年本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rPr>
        <w:t>不属于“鼓励类、限制类、淘汰类”，属于允许类，</w:t>
      </w:r>
      <w:r>
        <w:rPr>
          <w:rFonts w:hint="eastAsia" w:cs="Times New Roman"/>
          <w:color w:val="auto"/>
          <w:sz w:val="24"/>
          <w:szCs w:val="24"/>
          <w:highlight w:val="none"/>
          <w:lang w:val="zh-CN"/>
        </w:rPr>
        <w:t>本项目</w:t>
      </w:r>
      <w:r>
        <w:rPr>
          <w:rFonts w:hint="default" w:ascii="Times New Roman" w:hAnsi="Times New Roman" w:eastAsia="宋体" w:cs="Times New Roman"/>
          <w:color w:val="auto"/>
          <w:sz w:val="24"/>
          <w:szCs w:val="24"/>
          <w:highlight w:val="none"/>
          <w:lang w:val="zh-CN"/>
        </w:rPr>
        <w:t>已备案，</w:t>
      </w:r>
      <w:r>
        <w:rPr>
          <w:rFonts w:hint="default" w:ascii="Times New Roman" w:hAnsi="Times New Roman" w:eastAsia="宋体" w:cs="Times New Roman"/>
          <w:color w:val="auto"/>
          <w:sz w:val="24"/>
          <w:szCs w:val="24"/>
          <w:highlight w:val="none"/>
        </w:rPr>
        <w:t>因此，本项目建设符合国家产业政策</w:t>
      </w:r>
      <w:r>
        <w:rPr>
          <w:rFonts w:hint="default" w:ascii="Times New Roman" w:hAnsi="Times New Roman" w:eastAsia="宋体" w:cs="Times New Roman"/>
          <w:bCs/>
          <w:color w:val="auto"/>
          <w:sz w:val="24"/>
          <w:szCs w:val="24"/>
          <w:highlight w:val="none"/>
        </w:rPr>
        <w:t>。</w:t>
      </w:r>
    </w:p>
    <w:p w14:paraId="51A816E0">
      <w:pPr>
        <w:adjustRightInd w:val="0"/>
        <w:snapToGrid w:val="0"/>
        <w:ind w:firstLine="482" w:firstLineChars="200"/>
        <w:jc w:val="left"/>
        <w:rPr>
          <w:b/>
          <w:color w:val="auto"/>
          <w:kern w:val="0"/>
        </w:rPr>
      </w:pPr>
      <w:r>
        <w:rPr>
          <w:b/>
          <w:color w:val="auto"/>
          <w:kern w:val="0"/>
        </w:rPr>
        <w:t>二、项目“三废”产生及治理措施</w:t>
      </w:r>
    </w:p>
    <w:p w14:paraId="20F7CEF9">
      <w:pPr>
        <w:adjustRightInd w:val="0"/>
        <w:snapToGrid w:val="0"/>
        <w:ind w:firstLine="480" w:firstLineChars="200"/>
        <w:jc w:val="left"/>
        <w:rPr>
          <w:color w:val="auto"/>
        </w:rPr>
      </w:pPr>
      <w:r>
        <w:rPr>
          <w:color w:val="auto"/>
        </w:rPr>
        <w:t>该项目在生产过程中有各类污染物排放，对环境造成一定影响。对周围环境的主要影响有：</w:t>
      </w:r>
    </w:p>
    <w:p w14:paraId="5CB6A483">
      <w:pPr>
        <w:adjustRightInd w:val="0"/>
        <w:snapToGrid w:val="0"/>
        <w:spacing w:line="360" w:lineRule="auto"/>
        <w:ind w:firstLine="480"/>
        <w:rPr>
          <w:rFonts w:hint="default" w:ascii="Times New Roman" w:hAnsi="Times New Roman" w:eastAsia="宋体" w:cs="Times New Roman"/>
          <w:color w:val="auto"/>
          <w:sz w:val="24"/>
          <w:szCs w:val="24"/>
          <w:highlight w:val="none"/>
        </w:rPr>
      </w:pPr>
      <w:bookmarkStart w:id="2" w:name="_Hlk27985201"/>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废气</w:t>
      </w:r>
    </w:p>
    <w:p w14:paraId="3163E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吸附解吸废气</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甲醇罐呼吸气</w:t>
      </w:r>
      <w:r>
        <w:rPr>
          <w:rFonts w:hint="default" w:ascii="Times New Roman" w:hAnsi="Times New Roman" w:eastAsia="宋体" w:cs="Times New Roman"/>
          <w:color w:val="auto"/>
          <w:sz w:val="24"/>
          <w:szCs w:val="24"/>
          <w:highlight w:val="none"/>
        </w:rPr>
        <w:t>经管线</w:t>
      </w:r>
      <w:r>
        <w:rPr>
          <w:rFonts w:hint="default" w:ascii="Times New Roman" w:hAnsi="Times New Roman" w:eastAsia="宋体" w:cs="Times New Roman"/>
          <w:color w:val="auto"/>
          <w:sz w:val="24"/>
          <w:szCs w:val="24"/>
          <w:highlight w:val="none"/>
          <w:lang w:val="en-US" w:eastAsia="zh-CN"/>
        </w:rPr>
        <w:t>引入导热油炉燃烧后</w:t>
      </w:r>
      <w:r>
        <w:rPr>
          <w:rFonts w:hint="default" w:ascii="Times New Roman" w:hAnsi="Times New Roman" w:eastAsia="宋体" w:cs="Times New Roman"/>
          <w:color w:val="auto"/>
          <w:sz w:val="24"/>
          <w:szCs w:val="24"/>
          <w:highlight w:val="none"/>
          <w:lang w:eastAsia="zh-CN"/>
        </w:rPr>
        <w:t>由</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eastAsia="zh-CN"/>
        </w:rPr>
        <w:t>m排气筒(P</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)排放。</w:t>
      </w:r>
      <w:r>
        <w:rPr>
          <w:color w:val="auto"/>
          <w:sz w:val="24"/>
          <w:highlight w:val="none"/>
        </w:rPr>
        <w:t>颗粒物、NOx排放浓度均满足《锅炉大气污染物排放标准》（DB37/2374-2018）表2</w:t>
      </w:r>
      <w:r>
        <w:rPr>
          <w:rFonts w:hint="eastAsia"/>
          <w:color w:val="auto"/>
          <w:sz w:val="24"/>
          <w:highlight w:val="none"/>
          <w:lang w:val="en-US" w:eastAsia="zh-CN"/>
        </w:rPr>
        <w:t>重点</w:t>
      </w:r>
      <w:r>
        <w:rPr>
          <w:color w:val="auto"/>
          <w:sz w:val="24"/>
          <w:highlight w:val="none"/>
        </w:rPr>
        <w:t>控制区标准限值要求</w:t>
      </w:r>
      <w:r>
        <w:rPr>
          <w:rFonts w:hint="eastAsia"/>
          <w:color w:val="auto"/>
          <w:sz w:val="24"/>
          <w:highlight w:val="none"/>
          <w:lang w:eastAsia="zh-CN"/>
        </w:rPr>
        <w:t>，</w:t>
      </w:r>
      <w:r>
        <w:rPr>
          <w:rFonts w:hint="default" w:ascii="Times New Roman" w:hAnsi="Times New Roman" w:eastAsia="宋体" w:cs="Times New Roman"/>
          <w:color w:val="auto"/>
          <w:sz w:val="24"/>
          <w:highlight w:val="none"/>
        </w:rPr>
        <w:t xml:space="preserve">有机废气排放能够满足《挥发性有机物排放标准第6部分：有机化工行业》（DB37/2801.6-2018）表1 </w:t>
      </w:r>
      <w:r>
        <w:rPr>
          <w:rFonts w:hint="default" w:ascii="Times New Roman" w:hAnsi="Times New Roman" w:eastAsia="宋体" w:cs="Times New Roman"/>
          <w:color w:val="auto"/>
          <w:sz w:val="24"/>
          <w:highlight w:val="none"/>
        </w:rPr>
        <w:fldChar w:fldCharType="begin"/>
      </w:r>
      <w:r>
        <w:rPr>
          <w:rFonts w:hint="default" w:ascii="Times New Roman" w:hAnsi="Times New Roman" w:eastAsia="宋体" w:cs="Times New Roman"/>
          <w:color w:val="auto"/>
          <w:sz w:val="24"/>
          <w:highlight w:val="none"/>
        </w:rPr>
        <w:instrText xml:space="preserve"> = 2 \* ROMAN </w:instrText>
      </w:r>
      <w:r>
        <w:rPr>
          <w:rFonts w:hint="default" w:ascii="Times New Roman" w:hAnsi="Times New Roman" w:eastAsia="宋体" w:cs="Times New Roman"/>
          <w:color w:val="auto"/>
          <w:sz w:val="24"/>
          <w:highlight w:val="none"/>
        </w:rPr>
        <w:fldChar w:fldCharType="separate"/>
      </w:r>
      <w:r>
        <w:rPr>
          <w:rFonts w:hint="default" w:ascii="Times New Roman" w:hAnsi="Times New Roman" w:eastAsia="宋体" w:cs="Times New Roman"/>
          <w:color w:val="auto"/>
          <w:sz w:val="24"/>
          <w:highlight w:val="none"/>
        </w:rPr>
        <w:t>II</w:t>
      </w:r>
      <w:r>
        <w:rPr>
          <w:rFonts w:hint="default" w:ascii="Times New Roman" w:hAnsi="Times New Roman" w:eastAsia="宋体" w:cs="Times New Roman"/>
          <w:color w:val="auto"/>
          <w:sz w:val="24"/>
          <w:highlight w:val="none"/>
        </w:rPr>
        <w:fldChar w:fldCharType="end"/>
      </w:r>
      <w:r>
        <w:rPr>
          <w:rFonts w:hint="default" w:ascii="Times New Roman" w:hAnsi="Times New Roman" w:eastAsia="宋体" w:cs="Times New Roman"/>
          <w:color w:val="auto"/>
          <w:sz w:val="24"/>
          <w:highlight w:val="none"/>
        </w:rPr>
        <w:t>时段</w:t>
      </w:r>
      <w:r>
        <w:rPr>
          <w:rFonts w:hint="default" w:ascii="Times New Roman" w:hAnsi="Times New Roman" w:eastAsia="宋体" w:cs="Times New Roman"/>
          <w:color w:val="auto"/>
          <w:sz w:val="24"/>
          <w:highlight w:val="none"/>
          <w:lang w:val="en-US" w:eastAsia="zh-CN"/>
        </w:rPr>
        <w:t>及表2</w:t>
      </w:r>
      <w:r>
        <w:rPr>
          <w:rFonts w:hint="default" w:ascii="Times New Roman" w:hAnsi="Times New Roman" w:eastAsia="宋体" w:cs="Times New Roman"/>
          <w:color w:val="auto"/>
          <w:sz w:val="24"/>
          <w:highlight w:val="none"/>
        </w:rPr>
        <w:t>标准要求</w:t>
      </w:r>
      <w:r>
        <w:rPr>
          <w:rFonts w:hint="default" w:ascii="Times New Roman" w:hAnsi="Times New Roman" w:eastAsia="宋体" w:cs="Times New Roman"/>
          <w:color w:val="auto"/>
          <w:sz w:val="24"/>
          <w:highlight w:val="none"/>
          <w:lang w:eastAsia="zh-CN"/>
        </w:rPr>
        <w:t>、</w:t>
      </w:r>
      <w:r>
        <w:rPr>
          <w:rFonts w:hint="eastAsia" w:cs="Times New Roman"/>
          <w:color w:val="auto"/>
          <w:sz w:val="24"/>
          <w:szCs w:val="24"/>
          <w:highlight w:val="none"/>
          <w:lang w:val="en-US" w:eastAsia="zh-CN"/>
        </w:rPr>
        <w:t>《石油化学工业污染物排放标准》(GB31571-2015)、</w:t>
      </w:r>
      <w:r>
        <w:rPr>
          <w:rFonts w:hint="default" w:ascii="Times New Roman" w:hAnsi="Times New Roman" w:eastAsia="宋体" w:cs="Times New Roman"/>
          <w:color w:val="auto"/>
          <w:sz w:val="24"/>
          <w:highlight w:val="none"/>
        </w:rPr>
        <w:t>《大气污染物综合排放标准》（GB16297-1996）表2标准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szCs w:val="24"/>
          <w:highlight w:val="none"/>
          <w:lang w:val="en-US" w:eastAsia="zh-CN"/>
        </w:rPr>
        <w:t>污水处理站及危废间废气收集后引至</w:t>
      </w:r>
      <w:r>
        <w:rPr>
          <w:rFonts w:hint="eastAsia" w:cs="Times New Roman"/>
          <w:color w:val="auto"/>
          <w:sz w:val="24"/>
          <w:szCs w:val="24"/>
          <w:highlight w:val="none"/>
          <w:lang w:val="en-US" w:eastAsia="zh-CN"/>
        </w:rPr>
        <w:t>在建</w:t>
      </w:r>
      <w:r>
        <w:rPr>
          <w:rFonts w:hint="default" w:ascii="Times New Roman" w:hAnsi="Times New Roman" w:eastAsia="宋体" w:cs="Times New Roman"/>
          <w:color w:val="auto"/>
          <w:sz w:val="24"/>
          <w:szCs w:val="24"/>
          <w:highlight w:val="none"/>
          <w:lang w:val="en-US" w:eastAsia="zh-CN"/>
        </w:rPr>
        <w:t>“TO+SCR脱硝+两级碱喷淋”处理，由1根25m高排气筒(P1)排放</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排放废气</w:t>
      </w:r>
      <w:r>
        <w:rPr>
          <w:rFonts w:hint="default" w:ascii="Times New Roman" w:hAnsi="Times New Roman" w:eastAsia="宋体" w:cs="Times New Roman"/>
          <w:color w:val="auto"/>
          <w:sz w:val="24"/>
          <w:szCs w:val="24"/>
          <w:highlight w:val="none"/>
          <w:lang w:eastAsia="zh-CN"/>
        </w:rPr>
        <w:t>可</w:t>
      </w:r>
      <w:r>
        <w:rPr>
          <w:rFonts w:hint="default" w:ascii="Times New Roman" w:hAnsi="Times New Roman" w:eastAsia="宋体" w:cs="Times New Roman"/>
          <w:color w:val="auto"/>
          <w:sz w:val="24"/>
          <w:szCs w:val="24"/>
          <w:highlight w:val="none"/>
        </w:rPr>
        <w:t>满足</w:t>
      </w:r>
      <w:r>
        <w:rPr>
          <w:rFonts w:hint="default" w:ascii="Times New Roman" w:hAnsi="Times New Roman" w:eastAsia="宋体" w:cs="Times New Roman"/>
          <w:color w:val="auto"/>
          <w:sz w:val="24"/>
          <w:highlight w:val="none"/>
          <w:lang w:eastAsia="zh-CN"/>
        </w:rPr>
        <w:t>《大气污染物综合排放标准》</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lang w:eastAsia="zh-CN"/>
        </w:rPr>
        <w:t>GB16297-1996</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lang w:eastAsia="zh-CN"/>
        </w:rPr>
        <w:t>表2</w:t>
      </w:r>
      <w:r>
        <w:rPr>
          <w:rFonts w:hint="default" w:ascii="Times New Roman" w:hAnsi="Times New Roman" w:eastAsia="宋体" w:cs="Times New Roman"/>
          <w:color w:val="auto"/>
          <w:sz w:val="24"/>
          <w:highlight w:val="none"/>
          <w:lang w:val="en-US" w:eastAsia="zh-CN"/>
        </w:rPr>
        <w:t xml:space="preserve"> 二级标准，《挥发性有机物排放标准 第6部分：有机化工行业》</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DB37/2801.6-2018</w:t>
      </w:r>
      <w:r>
        <w:rPr>
          <w:rFonts w:hint="eastAsia" w:cs="Times New Roman"/>
          <w:color w:val="auto"/>
          <w:sz w:val="24"/>
          <w:highlight w:val="none"/>
          <w:lang w:val="en-US" w:eastAsia="zh-CN"/>
        </w:rPr>
        <w:t>)、</w:t>
      </w:r>
      <w:r>
        <w:rPr>
          <w:rFonts w:hint="eastAsia" w:cs="Times New Roman"/>
          <w:color w:val="auto"/>
          <w:sz w:val="24"/>
          <w:szCs w:val="24"/>
          <w:highlight w:val="none"/>
          <w:lang w:val="en-US" w:eastAsia="zh-CN"/>
        </w:rPr>
        <w:t>《石油化学工业污染物排放标准》(GB31571-2015)、</w:t>
      </w:r>
      <w:r>
        <w:rPr>
          <w:rFonts w:hint="default" w:ascii="Times New Roman" w:hAnsi="Times New Roman" w:eastAsia="宋体" w:cs="Times New Roman"/>
          <w:color w:val="auto"/>
          <w:sz w:val="24"/>
          <w:highlight w:val="none"/>
          <w:lang w:eastAsia="zh-CN"/>
        </w:rPr>
        <w:t>《区域性大气污染物综合排放标准》</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lang w:eastAsia="zh-CN"/>
        </w:rPr>
        <w:t>DB37/2376-2019</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lang w:eastAsia="zh-CN"/>
        </w:rPr>
        <w:t>表 1</w:t>
      </w:r>
      <w:r>
        <w:rPr>
          <w:rFonts w:hint="eastAsia" w:eastAsia="宋体" w:cs="Times New Roman"/>
          <w:color w:val="auto"/>
          <w:sz w:val="24"/>
          <w:highlight w:val="none"/>
          <w:lang w:val="en-US" w:eastAsia="zh-CN"/>
        </w:rPr>
        <w:t>重点</w:t>
      </w:r>
      <w:r>
        <w:rPr>
          <w:rFonts w:hint="default" w:ascii="Times New Roman" w:hAnsi="Times New Roman" w:eastAsia="宋体" w:cs="Times New Roman"/>
          <w:color w:val="auto"/>
          <w:sz w:val="24"/>
          <w:highlight w:val="none"/>
          <w:lang w:eastAsia="zh-CN"/>
        </w:rPr>
        <w:t>控制区</w:t>
      </w:r>
      <w:r>
        <w:rPr>
          <w:rFonts w:hint="eastAsia"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《恶臭污染物排放标准》</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GB14554-93</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表2标准的要求</w:t>
      </w:r>
      <w:r>
        <w:rPr>
          <w:rFonts w:hint="default" w:ascii="Times New Roman" w:hAnsi="Times New Roman" w:eastAsia="宋体" w:cs="Times New Roman"/>
          <w:color w:val="auto"/>
          <w:sz w:val="24"/>
          <w:szCs w:val="24"/>
          <w:highlight w:val="none"/>
        </w:rPr>
        <w:t>及《有机化工企业污水处理厂</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站</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挥发性有机物及恶臭污染物排放标准》</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DB37/3161-2018</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表1标准的要求。</w:t>
      </w:r>
    </w:p>
    <w:p w14:paraId="21D091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本项目VOCs物料储存于密闭</w:t>
      </w:r>
      <w:r>
        <w:rPr>
          <w:rFonts w:hint="eastAsia" w:cs="Times New Roman"/>
          <w:color w:val="auto"/>
          <w:kern w:val="2"/>
          <w:sz w:val="24"/>
          <w:szCs w:val="24"/>
          <w:highlight w:val="none"/>
          <w:lang w:val="en-US" w:eastAsia="zh-CN" w:bidi="ar-SA"/>
        </w:rPr>
        <w:t>储罐</w:t>
      </w:r>
      <w:r>
        <w:rPr>
          <w:rFonts w:hint="default" w:ascii="Times New Roman" w:hAnsi="Times New Roman" w:eastAsia="宋体" w:cs="Times New Roman"/>
          <w:color w:val="auto"/>
          <w:kern w:val="2"/>
          <w:sz w:val="24"/>
          <w:szCs w:val="24"/>
          <w:highlight w:val="none"/>
          <w:lang w:val="en-US" w:eastAsia="zh-CN" w:bidi="ar-SA"/>
        </w:rPr>
        <w:t>内，项目卸车采用双管式物料输送方式卸车，生产设备密封，负压收集废气；废气均从产生环节直接通过密闭管道送入废气处理装置处理，极大地减少了生产车间无组织废气的排放。</w:t>
      </w:r>
      <w:r>
        <w:rPr>
          <w:rFonts w:hint="default" w:ascii="Times New Roman" w:hAnsi="Times New Roman" w:eastAsia="宋体" w:cs="Times New Roman"/>
          <w:bCs/>
          <w:color w:val="auto"/>
          <w:sz w:val="24"/>
          <w:szCs w:val="24"/>
          <w:highlight w:val="none"/>
        </w:rPr>
        <w:t>厂界浓度能够满足</w:t>
      </w:r>
      <w:r>
        <w:rPr>
          <w:rFonts w:hint="default" w:ascii="Times New Roman" w:hAnsi="Times New Roman" w:eastAsia="宋体" w:cs="Times New Roman"/>
          <w:color w:val="auto"/>
          <w:sz w:val="24"/>
          <w:szCs w:val="24"/>
          <w:highlight w:val="none"/>
        </w:rPr>
        <w:t>《挥发性有机废气排放标准 第6部分：有机化工行业》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DB37/2801.6-2018</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表3、《有机化工企业污水处理厂</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站</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挥发性有机物及恶臭污染物排放标准》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DB37/3161-2018</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表2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Cs/>
          <w:color w:val="auto"/>
          <w:sz w:val="24"/>
          <w:szCs w:val="24"/>
          <w:highlight w:val="none"/>
        </w:rPr>
        <w:t>《恶臭污染物排放标准》</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GB14554-1993</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表1二级标准和《大气污染物综合排放标准》</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GB16297-1996</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表2二级标准</w:t>
      </w:r>
      <w:r>
        <w:rPr>
          <w:rFonts w:hint="eastAsia" w:cs="Times New Roman"/>
          <w:bCs/>
          <w:color w:val="auto"/>
          <w:sz w:val="24"/>
          <w:szCs w:val="24"/>
          <w:highlight w:val="none"/>
          <w:lang w:val="en-US" w:eastAsia="zh-CN"/>
        </w:rPr>
        <w:t>要求</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color w:val="auto"/>
          <w:sz w:val="24"/>
          <w:szCs w:val="24"/>
          <w:highlight w:val="none"/>
        </w:rPr>
        <w:t>另外，项目对VOCs无组织排放的控制和管理在满足《挥发性有机物无组织排放控制标准》</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 37822-2019</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的要求后，预计本项目无组织废气对周围环境空气的影响较小。</w:t>
      </w:r>
    </w:p>
    <w:p w14:paraId="3C024C61">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zh-CN"/>
        </w:rPr>
      </w:pP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w:t>
      </w:r>
      <w:r>
        <w:rPr>
          <w:rFonts w:hint="eastAsia"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rPr>
        <w:t>废水主要包括</w:t>
      </w:r>
      <w:r>
        <w:rPr>
          <w:rFonts w:hint="eastAsia" w:cs="Times New Roman"/>
          <w:color w:val="auto"/>
          <w:sz w:val="24"/>
          <w:szCs w:val="24"/>
          <w:highlight w:val="none"/>
          <w:lang w:val="en-US" w:eastAsia="zh-CN"/>
        </w:rPr>
        <w:t>地面冲洗废水</w:t>
      </w: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脱盐水排水</w:t>
      </w:r>
      <w:r>
        <w:rPr>
          <w:rFonts w:hint="default" w:ascii="Times New Roman" w:hAnsi="Times New Roman" w:eastAsia="宋体" w:cs="Times New Roman"/>
          <w:color w:val="auto"/>
          <w:sz w:val="24"/>
          <w:szCs w:val="24"/>
          <w:highlight w:val="none"/>
        </w:rPr>
        <w:t>等</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排入</w:t>
      </w:r>
      <w:r>
        <w:rPr>
          <w:rFonts w:hint="eastAsia" w:cs="Times New Roman"/>
          <w:color w:val="auto"/>
          <w:sz w:val="24"/>
          <w:szCs w:val="24"/>
          <w:highlight w:val="none"/>
          <w:lang w:val="en-US" w:eastAsia="zh-CN"/>
        </w:rPr>
        <w:t>厂区现有</w:t>
      </w:r>
      <w:r>
        <w:rPr>
          <w:rFonts w:hint="default" w:ascii="Times New Roman" w:hAnsi="Times New Roman" w:eastAsia="宋体" w:cs="Times New Roman"/>
          <w:color w:val="auto"/>
          <w:sz w:val="24"/>
          <w:szCs w:val="24"/>
          <w:highlight w:val="none"/>
        </w:rPr>
        <w:t>污水处理站处理</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处理后废水与循环水排污水经沉淀池混合沉淀后，</w:t>
      </w:r>
      <w:r>
        <w:rPr>
          <w:rFonts w:hint="default" w:ascii="Times New Roman" w:hAnsi="Times New Roman" w:eastAsia="宋体" w:cs="Times New Roman"/>
          <w:color w:val="auto"/>
          <w:sz w:val="24"/>
          <w:szCs w:val="24"/>
          <w:highlight w:val="none"/>
        </w:rPr>
        <w:t>达到</w:t>
      </w:r>
      <w:r>
        <w:rPr>
          <w:rFonts w:hint="eastAsia" w:cs="Times New Roman"/>
          <w:color w:val="auto"/>
          <w:sz w:val="24"/>
          <w:szCs w:val="24"/>
          <w:highlight w:val="none"/>
          <w:lang w:val="en-US" w:eastAsia="zh-CN"/>
        </w:rPr>
        <w:t>《石油化学工业污染物排放标准》(GB31571-2015)间接</w:t>
      </w:r>
      <w:r>
        <w:rPr>
          <w:rFonts w:hint="default" w:ascii="Times New Roman" w:hAnsi="Times New Roman" w:eastAsia="宋体" w:cs="Times New Roman"/>
          <w:color w:val="auto"/>
          <w:sz w:val="24"/>
          <w:szCs w:val="24"/>
          <w:highlight w:val="none"/>
        </w:rPr>
        <w:t>标准及污水厂进水水质要求后，</w:t>
      </w:r>
      <w:r>
        <w:rPr>
          <w:rFonts w:hint="default" w:ascii="Times New Roman" w:hAnsi="Times New Roman" w:eastAsia="宋体" w:cs="Times New Roman"/>
          <w:color w:val="auto"/>
          <w:sz w:val="24"/>
          <w:szCs w:val="24"/>
          <w:highlight w:val="none"/>
          <w:lang w:val="en-US" w:eastAsia="zh-CN"/>
        </w:rPr>
        <w:t>采用“一企一管”收集方式</w:t>
      </w:r>
      <w:r>
        <w:rPr>
          <w:rFonts w:hint="default" w:ascii="Times New Roman" w:hAnsi="Times New Roman" w:eastAsia="宋体" w:cs="Times New Roman"/>
          <w:color w:val="auto"/>
          <w:sz w:val="24"/>
          <w:szCs w:val="24"/>
          <w:highlight w:val="none"/>
        </w:rPr>
        <w:t>排入楼德污水处理厂。</w:t>
      </w:r>
    </w:p>
    <w:p w14:paraId="4370F9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项目固体废物主要为</w:t>
      </w:r>
      <w:r>
        <w:rPr>
          <w:rFonts w:hint="default" w:ascii="Times New Roman" w:hAnsi="Times New Roman" w:eastAsia="宋体" w:cs="Times New Roman"/>
          <w:color w:val="auto"/>
          <w:sz w:val="24"/>
          <w:szCs w:val="24"/>
          <w:highlight w:val="none"/>
          <w:lang w:val="en-US" w:eastAsia="zh-CN"/>
        </w:rPr>
        <w:t>甲醇制氢废催化剂</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甲醇制氢废吸附剂、废机油、废</w:t>
      </w:r>
      <w:r>
        <w:rPr>
          <w:rFonts w:hint="eastAsia" w:cs="Times New Roman"/>
          <w:color w:val="auto"/>
          <w:sz w:val="24"/>
          <w:szCs w:val="24"/>
          <w:highlight w:val="none"/>
          <w:lang w:val="en-US" w:eastAsia="zh-CN"/>
        </w:rPr>
        <w:t>桶、</w:t>
      </w:r>
      <w:r>
        <w:rPr>
          <w:rFonts w:hint="default" w:ascii="Times New Roman" w:hAnsi="Times New Roman" w:eastAsia="宋体" w:cs="Times New Roman"/>
          <w:color w:val="auto"/>
          <w:sz w:val="24"/>
          <w:szCs w:val="24"/>
          <w:highlight w:val="none"/>
          <w:lang w:eastAsia="zh-CN"/>
        </w:rPr>
        <w:t>污水处理站污泥</w:t>
      </w:r>
      <w:r>
        <w:rPr>
          <w:rFonts w:hint="eastAsia"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均为危险废物，</w:t>
      </w:r>
      <w:r>
        <w:rPr>
          <w:rFonts w:hint="default" w:ascii="Times New Roman" w:hAnsi="Times New Roman" w:eastAsia="宋体" w:cs="Times New Roman"/>
          <w:color w:val="auto"/>
          <w:sz w:val="24"/>
          <w:szCs w:val="24"/>
          <w:highlight w:val="none"/>
        </w:rPr>
        <w:t>由有资质单位处置</w:t>
      </w:r>
      <w:r>
        <w:rPr>
          <w:rFonts w:hint="default" w:ascii="Times New Roman" w:hAnsi="Times New Roman" w:eastAsia="宋体" w:cs="Times New Roman"/>
          <w:color w:val="auto"/>
          <w:sz w:val="24"/>
          <w:szCs w:val="24"/>
          <w:highlight w:val="none"/>
          <w:lang w:eastAsia="zh-CN"/>
        </w:rPr>
        <w:t>。</w:t>
      </w:r>
    </w:p>
    <w:p w14:paraId="01CDD3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zh-CN"/>
        </w:rPr>
        <w:t>(</w:t>
      </w:r>
      <w:r>
        <w:rPr>
          <w:rFonts w:hint="eastAsia" w:ascii="Times New Roman" w:hAnsi="Times New Roman" w:eastAsia="宋体" w:cs="Times New Roman"/>
          <w:color w:val="auto"/>
          <w:sz w:val="24"/>
          <w:szCs w:val="24"/>
          <w:highlight w:val="none"/>
          <w:lang w:val="en-US" w:eastAsia="zh-CN"/>
        </w:rPr>
        <w:t>4</w:t>
      </w:r>
      <w:r>
        <w:rPr>
          <w:rFonts w:hint="eastAsia" w:cs="Times New Roman"/>
          <w:color w:val="auto"/>
          <w:sz w:val="24"/>
          <w:szCs w:val="24"/>
          <w:highlight w:val="none"/>
          <w:lang w:val="zh-CN"/>
        </w:rPr>
        <w:t>)</w:t>
      </w:r>
      <w:r>
        <w:rPr>
          <w:rFonts w:hint="default" w:ascii="Times New Roman" w:hAnsi="Times New Roman" w:eastAsia="宋体" w:cs="Times New Roman"/>
          <w:color w:val="auto"/>
          <w:sz w:val="24"/>
          <w:szCs w:val="24"/>
          <w:highlight w:val="none"/>
        </w:rPr>
        <w:t>本项目</w:t>
      </w:r>
      <w:r>
        <w:rPr>
          <w:rFonts w:hint="eastAsia" w:ascii="Times New Roman" w:hAnsi="Times New Roman" w:cs="Times New Roman"/>
          <w:color w:val="auto"/>
          <w:sz w:val="24"/>
          <w:szCs w:val="24"/>
          <w:highlight w:val="none"/>
          <w:lang w:val="en-US" w:eastAsia="zh-CN"/>
        </w:rPr>
        <w:t>新增</w:t>
      </w:r>
      <w:r>
        <w:rPr>
          <w:rFonts w:hint="default" w:ascii="Times New Roman" w:hAnsi="Times New Roman" w:eastAsia="宋体" w:cs="Times New Roman"/>
          <w:color w:val="auto"/>
          <w:sz w:val="24"/>
          <w:szCs w:val="24"/>
          <w:highlight w:val="none"/>
        </w:rPr>
        <w:t>噪声源为</w:t>
      </w:r>
      <w:r>
        <w:rPr>
          <w:rFonts w:hint="eastAsia" w:cs="Times New Roman"/>
          <w:color w:val="auto"/>
          <w:sz w:val="24"/>
          <w:highlight w:val="none"/>
          <w:lang w:val="en-US" w:eastAsia="zh-CN"/>
        </w:rPr>
        <w:t>真空泵等</w:t>
      </w:r>
      <w:r>
        <w:rPr>
          <w:rFonts w:hint="default" w:ascii="Times New Roman" w:hAnsi="Times New Roman" w:eastAsia="宋体" w:cs="Times New Roman"/>
          <w:color w:val="auto"/>
          <w:sz w:val="24"/>
          <w:szCs w:val="24"/>
          <w:highlight w:val="none"/>
        </w:rPr>
        <w:t>，单个设备噪声源强约</w:t>
      </w:r>
      <w:r>
        <w:rPr>
          <w:rFonts w:hint="eastAsia" w:cs="Times New Roman"/>
          <w:color w:val="auto"/>
          <w:sz w:val="24"/>
          <w:szCs w:val="24"/>
          <w:highlight w:val="none"/>
          <w:lang w:val="en-US" w:eastAsia="zh-CN"/>
        </w:rPr>
        <w:t>85dB</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左右，经采取隔声、消声、基础减振，选用低噪设备，合理布置，生产过程中加强管理和润滑，加强日常监测管理，加强厂区绿化等措施后，经预测，项目厂界噪声能够达标排放。</w:t>
      </w:r>
    </w:p>
    <w:bookmarkEnd w:id="2"/>
    <w:p w14:paraId="2459AA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sz w:val="24"/>
          <w:lang w:val="zh-CN"/>
        </w:rPr>
      </w:pPr>
      <w:r>
        <w:rPr>
          <w:rFonts w:ascii="Times New Roman" w:hAnsi="Times New Roman" w:eastAsia="宋体" w:cs="Times New Roman"/>
          <w:sz w:val="24"/>
          <w:lang w:val="zh-CN"/>
        </w:rPr>
        <w:t>（5）环境风险</w:t>
      </w:r>
    </w:p>
    <w:p w14:paraId="05672F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sz w:val="24"/>
          <w:lang w:val="zh-CN"/>
        </w:rPr>
      </w:pPr>
      <w:r>
        <w:rPr>
          <w:rFonts w:ascii="Times New Roman" w:hAnsi="Times New Roman" w:eastAsia="宋体" w:cs="Times New Roman"/>
          <w:sz w:val="24"/>
          <w:lang w:val="zh-CN"/>
        </w:rPr>
        <w:t>项目在落实总图设计、贮运设计、工艺技术设计、自动控制设计、电气电讯设计、消防及火灾报警系统设计、紧急救援设计等方面的风险防范措施及应急预案要求后，项目环境风险水平可接受，工程风险能够得到有效控制。</w:t>
      </w:r>
    </w:p>
    <w:p w14:paraId="2746B6DD">
      <w:pPr>
        <w:adjustRightInd w:val="0"/>
        <w:snapToGrid w:val="0"/>
        <w:ind w:firstLine="482" w:firstLineChars="200"/>
        <w:rPr>
          <w:b/>
          <w:color w:val="auto"/>
        </w:rPr>
      </w:pPr>
      <w:r>
        <w:rPr>
          <w:b/>
          <w:color w:val="auto"/>
        </w:rPr>
        <w:t>三、征求意见的公众范围</w:t>
      </w:r>
    </w:p>
    <w:p w14:paraId="0CFE22DB">
      <w:pPr>
        <w:adjustRightInd w:val="0"/>
        <w:snapToGrid w:val="0"/>
        <w:ind w:firstLine="480" w:firstLineChars="200"/>
        <w:jc w:val="left"/>
        <w:rPr>
          <w:color w:val="auto"/>
        </w:rPr>
      </w:pPr>
      <w:r>
        <w:rPr>
          <w:color w:val="auto"/>
        </w:rPr>
        <w:t>本项目征求意见的公众范围包括拟建项目所在位置周边5公里范围内的各单位和居民。</w:t>
      </w:r>
    </w:p>
    <w:p w14:paraId="66E02EE9">
      <w:pPr>
        <w:adjustRightInd w:val="0"/>
        <w:snapToGrid w:val="0"/>
        <w:ind w:firstLine="482" w:firstLineChars="200"/>
        <w:rPr>
          <w:b/>
          <w:color w:val="auto"/>
        </w:rPr>
      </w:pPr>
      <w:r>
        <w:rPr>
          <w:b/>
          <w:color w:val="auto"/>
        </w:rPr>
        <w:t>四、征求公众意见的主要事项及公众意见表</w:t>
      </w:r>
    </w:p>
    <w:p w14:paraId="7602E6AA">
      <w:pPr>
        <w:adjustRightInd w:val="0"/>
        <w:snapToGrid w:val="0"/>
        <w:ind w:firstLine="480" w:firstLineChars="200"/>
        <w:jc w:val="left"/>
        <w:rPr>
          <w:color w:val="auto"/>
        </w:rPr>
      </w:pPr>
      <w:r>
        <w:rPr>
          <w:color w:val="auto"/>
        </w:rPr>
        <w:t>本次公示主要征求对环境影响报告书中所提出的环境保护措施的意见及建议，即您认为本报告所提出的环境保护措施是否合理、可行，措施实施后是否对您的工作、生活环境和评价区域环境质量造成影响，请提出建议和意见，我们将充分考虑您所提出的意见和建议，并作出相应回答。</w:t>
      </w:r>
    </w:p>
    <w:p w14:paraId="6E08082E">
      <w:pPr>
        <w:adjustRightInd w:val="0"/>
        <w:snapToGrid w:val="0"/>
        <w:ind w:firstLine="480" w:firstLineChars="200"/>
        <w:rPr>
          <w:color w:val="auto"/>
        </w:rPr>
      </w:pPr>
      <w:r>
        <w:rPr>
          <w:rFonts w:hint="eastAsia"/>
          <w:color w:val="auto"/>
        </w:rPr>
        <w:t>自本公示发布之日，公众可至中华人民共和国生态环境部（http://www.mee.gov.cn/xxgk2018/xxgk/xxgk01/201810/t20181024_665329.html）下载环境影响评价公众意见表进行填写。</w:t>
      </w:r>
    </w:p>
    <w:p w14:paraId="17242C65">
      <w:pPr>
        <w:widowControl/>
        <w:adjustRightInd w:val="0"/>
        <w:snapToGrid w:val="0"/>
        <w:spacing w:line="336" w:lineRule="auto"/>
        <w:ind w:firstLine="480" w:firstLineChars="200"/>
        <w:jc w:val="left"/>
        <w:rPr>
          <w:color w:val="auto"/>
        </w:rPr>
      </w:pPr>
      <w:r>
        <w:rPr>
          <w:color w:val="auto"/>
        </w:rPr>
        <w:t>查阅纸质报告书的方式：通过电</w:t>
      </w:r>
      <w:r>
        <w:rPr>
          <w:color w:val="auto"/>
          <w:highlight w:val="none"/>
        </w:rPr>
        <w:t>话（</w:t>
      </w:r>
      <w:r>
        <w:rPr>
          <w:rFonts w:hint="eastAsia"/>
          <w:bCs/>
          <w:sz w:val="24"/>
          <w:szCs w:val="24"/>
          <w:highlight w:val="none"/>
          <w:lang w:val="en-US" w:eastAsia="zh-CN"/>
        </w:rPr>
        <w:t>19954036888</w:t>
      </w:r>
      <w:r>
        <w:rPr>
          <w:color w:val="auto"/>
          <w:highlight w:val="none"/>
        </w:rPr>
        <w:t>）联系</w:t>
      </w:r>
      <w:r>
        <w:rPr>
          <w:color w:val="auto"/>
        </w:rPr>
        <w:t>建设单位</w:t>
      </w:r>
      <w:r>
        <w:rPr>
          <w:rFonts w:hint="eastAsia"/>
          <w:color w:val="auto"/>
          <w:lang w:val="en-US" w:eastAsia="zh-CN"/>
        </w:rPr>
        <w:t>王经理</w:t>
      </w:r>
      <w:r>
        <w:rPr>
          <w:color w:val="auto"/>
        </w:rPr>
        <w:t>后可到</w:t>
      </w:r>
      <w:r>
        <w:rPr>
          <w:rFonts w:hint="default" w:ascii="Times New Roman" w:hAnsi="Times New Roman" w:eastAsia="宋体" w:cs="Times New Roman"/>
          <w:color w:val="auto"/>
          <w:sz w:val="24"/>
          <w:szCs w:val="24"/>
          <w:highlight w:val="none"/>
        </w:rPr>
        <w:t>泰安科赛尔化学科技有限公司</w:t>
      </w:r>
      <w:r>
        <w:rPr>
          <w:color w:val="auto"/>
        </w:rPr>
        <w:t>查阅纸质报告书。</w:t>
      </w:r>
    </w:p>
    <w:p w14:paraId="7D5CD960">
      <w:pPr>
        <w:adjustRightInd w:val="0"/>
        <w:snapToGrid w:val="0"/>
        <w:ind w:firstLine="482" w:firstLineChars="200"/>
        <w:jc w:val="left"/>
        <w:rPr>
          <w:b/>
          <w:color w:val="auto"/>
        </w:rPr>
      </w:pPr>
      <w:r>
        <w:rPr>
          <w:b/>
          <w:color w:val="auto"/>
        </w:rPr>
        <w:t>五、公众提出意见的主要方式和途径</w:t>
      </w:r>
    </w:p>
    <w:p w14:paraId="69EBE2FA">
      <w:pPr>
        <w:adjustRightInd w:val="0"/>
        <w:snapToGrid w:val="0"/>
        <w:ind w:firstLine="480" w:firstLineChars="200"/>
        <w:jc w:val="left"/>
        <w:rPr>
          <w:color w:val="auto"/>
        </w:rPr>
      </w:pPr>
      <w:r>
        <w:rPr>
          <w:color w:val="auto"/>
        </w:rPr>
        <w:t>如对本项目提出意见或建议，可在项目公示之日起</w:t>
      </w:r>
      <w:r>
        <w:rPr>
          <w:rFonts w:hint="eastAsia"/>
          <w:color w:val="auto"/>
          <w:lang w:val="en-US" w:eastAsia="zh-CN"/>
        </w:rPr>
        <w:t>5</w:t>
      </w:r>
      <w:r>
        <w:rPr>
          <w:color w:val="auto"/>
        </w:rPr>
        <w:t>日内以电话、书面、电子邮件等方式向建设单位或者环境影响报告书编制单位反映，并留下您的主要联系方式，以便我们及时和您取得联系。</w:t>
      </w:r>
    </w:p>
    <w:p w14:paraId="2781EF18">
      <w:pPr>
        <w:pStyle w:val="4"/>
        <w:adjustRightInd w:val="0"/>
        <w:snapToGrid w:val="0"/>
        <w:ind w:firstLine="480" w:firstLineChars="200"/>
        <w:jc w:val="left"/>
        <w:rPr>
          <w:rFonts w:ascii="Times New Roman" w:hAnsi="Times New Roman"/>
          <w:color w:val="auto"/>
          <w:szCs w:val="24"/>
        </w:rPr>
      </w:pPr>
      <w:r>
        <w:rPr>
          <w:rFonts w:ascii="Times New Roman" w:hAnsi="Times New Roman"/>
          <w:color w:val="auto"/>
          <w:szCs w:val="24"/>
        </w:rPr>
        <w:t>1、建设项目的建设单位名称及联系方式</w:t>
      </w:r>
    </w:p>
    <w:p w14:paraId="201C850D">
      <w:pPr>
        <w:adjustRightInd w:val="0"/>
        <w:snapToGrid w:val="0"/>
        <w:spacing w:line="336" w:lineRule="auto"/>
        <w:ind w:firstLine="482" w:firstLineChars="200"/>
        <w:rPr>
          <w:color w:val="auto"/>
          <w:lang w:val="zh-CN"/>
        </w:rPr>
      </w:pPr>
      <w:r>
        <w:rPr>
          <w:b/>
          <w:color w:val="auto"/>
          <w:kern w:val="0"/>
        </w:rPr>
        <w:t>建设单位：</w:t>
      </w:r>
      <w:r>
        <w:rPr>
          <w:rFonts w:hint="default" w:ascii="Times New Roman" w:hAnsi="Times New Roman" w:eastAsia="宋体" w:cs="Times New Roman"/>
          <w:color w:val="auto"/>
          <w:sz w:val="24"/>
          <w:szCs w:val="24"/>
          <w:highlight w:val="none"/>
        </w:rPr>
        <w:t>泰安科赛尔化学科技有限公司</w:t>
      </w:r>
    </w:p>
    <w:p w14:paraId="3E73F292">
      <w:pPr>
        <w:adjustRightInd w:val="0"/>
        <w:snapToGrid w:val="0"/>
        <w:spacing w:line="336" w:lineRule="auto"/>
        <w:ind w:firstLine="482" w:firstLineChars="200"/>
        <w:rPr>
          <w:rFonts w:hint="default" w:eastAsia="宋体"/>
          <w:color w:val="auto"/>
          <w:kern w:val="0"/>
          <w:lang w:val="en-US" w:eastAsia="zh-CN"/>
        </w:rPr>
      </w:pPr>
      <w:r>
        <w:rPr>
          <w:b/>
          <w:color w:val="auto"/>
          <w:kern w:val="0"/>
        </w:rPr>
        <w:t>联 系 人：</w:t>
      </w:r>
      <w:r>
        <w:rPr>
          <w:rFonts w:hint="eastAsia"/>
          <w:b/>
          <w:color w:val="auto"/>
          <w:kern w:val="0"/>
          <w:lang w:val="en-US" w:eastAsia="zh-CN"/>
        </w:rPr>
        <w:t>王经理</w:t>
      </w:r>
      <w:r>
        <w:rPr>
          <w:color w:val="auto"/>
          <w:kern w:val="0"/>
        </w:rPr>
        <w:t xml:space="preserve">  </w:t>
      </w:r>
      <w:r>
        <w:rPr>
          <w:b/>
          <w:color w:val="auto"/>
          <w:kern w:val="0"/>
        </w:rPr>
        <w:t>联系电话：</w:t>
      </w:r>
      <w:r>
        <w:rPr>
          <w:rFonts w:hint="eastAsia"/>
          <w:bCs/>
          <w:sz w:val="24"/>
          <w:szCs w:val="24"/>
          <w:highlight w:val="none"/>
          <w:lang w:val="en-US" w:eastAsia="zh-CN"/>
        </w:rPr>
        <w:t>19954036888</w:t>
      </w:r>
      <w:bookmarkStart w:id="3" w:name="_GoBack"/>
      <w:bookmarkEnd w:id="3"/>
    </w:p>
    <w:p w14:paraId="2AA081EF">
      <w:pPr>
        <w:widowControl/>
        <w:adjustRightInd w:val="0"/>
        <w:snapToGrid w:val="0"/>
        <w:ind w:firstLine="480" w:firstLineChars="200"/>
        <w:jc w:val="left"/>
        <w:rPr>
          <w:color w:val="auto"/>
          <w:kern w:val="0"/>
        </w:rPr>
      </w:pPr>
      <w:r>
        <w:rPr>
          <w:color w:val="auto"/>
          <w:kern w:val="0"/>
        </w:rPr>
        <w:t>2、承担环境影响评价工作的机构名称及联系方式</w:t>
      </w:r>
    </w:p>
    <w:p w14:paraId="76FE2F41">
      <w:pPr>
        <w:adjustRightInd w:val="0"/>
        <w:snapToGrid w:val="0"/>
        <w:spacing w:line="336" w:lineRule="auto"/>
        <w:ind w:firstLine="482" w:firstLineChars="200"/>
        <w:rPr>
          <w:color w:val="auto"/>
        </w:rPr>
      </w:pPr>
      <w:r>
        <w:rPr>
          <w:b/>
          <w:color w:val="auto"/>
        </w:rPr>
        <w:t>评价机构：</w:t>
      </w:r>
      <w:r>
        <w:rPr>
          <w:color w:val="auto"/>
        </w:rPr>
        <w:t>山东环泰环保科技</w:t>
      </w:r>
      <w:r>
        <w:rPr>
          <w:rFonts w:hint="eastAsia"/>
          <w:color w:val="auto"/>
        </w:rPr>
        <w:t>发展</w:t>
      </w:r>
      <w:r>
        <w:rPr>
          <w:color w:val="auto"/>
        </w:rPr>
        <w:t>有限公司</w:t>
      </w:r>
    </w:p>
    <w:p w14:paraId="30653B94">
      <w:pPr>
        <w:adjustRightInd w:val="0"/>
        <w:snapToGrid w:val="0"/>
        <w:spacing w:line="336" w:lineRule="auto"/>
        <w:ind w:firstLine="482" w:firstLineChars="200"/>
        <w:rPr>
          <w:color w:val="auto"/>
        </w:rPr>
      </w:pPr>
      <w:r>
        <w:rPr>
          <w:b/>
          <w:color w:val="auto"/>
        </w:rPr>
        <w:t>联 系 人：</w:t>
      </w:r>
      <w:r>
        <w:rPr>
          <w:rFonts w:hint="eastAsia"/>
          <w:b/>
          <w:color w:val="auto"/>
          <w:lang w:val="en-US" w:eastAsia="zh-CN"/>
        </w:rPr>
        <w:t>孙</w:t>
      </w:r>
      <w:r>
        <w:rPr>
          <w:rFonts w:hint="eastAsia"/>
          <w:b/>
          <w:color w:val="auto"/>
        </w:rPr>
        <w:t>工</w:t>
      </w:r>
      <w:r>
        <w:rPr>
          <w:rFonts w:hint="eastAsia"/>
          <w:color w:val="auto"/>
        </w:rPr>
        <w:t xml:space="preserve"> </w:t>
      </w:r>
      <w:r>
        <w:rPr>
          <w:color w:val="auto"/>
        </w:rPr>
        <w:t xml:space="preserve"> </w:t>
      </w:r>
      <w:r>
        <w:rPr>
          <w:b/>
          <w:color w:val="auto"/>
        </w:rPr>
        <w:t>联系电话：</w:t>
      </w:r>
      <w:r>
        <w:rPr>
          <w:color w:val="auto"/>
        </w:rPr>
        <w:t>0538-5395605</w:t>
      </w:r>
    </w:p>
    <w:p w14:paraId="46833E4B">
      <w:pPr>
        <w:adjustRightInd w:val="0"/>
        <w:snapToGrid w:val="0"/>
        <w:spacing w:line="336" w:lineRule="auto"/>
        <w:ind w:firstLine="482" w:firstLineChars="200"/>
        <w:rPr>
          <w:color w:val="auto"/>
        </w:rPr>
      </w:pPr>
      <w:r>
        <w:rPr>
          <w:b/>
          <w:color w:val="auto"/>
        </w:rPr>
        <w:t>邮    箱：</w:t>
      </w:r>
      <w:r>
        <w:rPr>
          <w:color w:val="auto"/>
        </w:rPr>
        <w:t>hp9954@163.com</w:t>
      </w:r>
    </w:p>
    <w:p w14:paraId="526524FD">
      <w:pPr>
        <w:adjustRightInd w:val="0"/>
        <w:snapToGrid w:val="0"/>
        <w:ind w:left="960" w:hanging="960" w:hangingChars="400"/>
        <w:jc w:val="right"/>
        <w:rPr>
          <w:rFonts w:hint="eastAsia" w:eastAsia="宋体"/>
          <w:color w:val="auto"/>
          <w:lang w:eastAsia="zh-CN"/>
        </w:rPr>
      </w:pPr>
      <w:r>
        <w:rPr>
          <w:color w:val="auto"/>
        </w:rPr>
        <w:t xml:space="preserve">                                 </w:t>
      </w:r>
      <w:r>
        <w:rPr>
          <w:rFonts w:hint="default" w:ascii="Times New Roman" w:hAnsi="Times New Roman" w:eastAsia="宋体" w:cs="Times New Roman"/>
          <w:color w:val="auto"/>
          <w:sz w:val="24"/>
          <w:szCs w:val="24"/>
          <w:highlight w:val="none"/>
        </w:rPr>
        <w:t>泰安科赛尔化学科技有限公司</w:t>
      </w:r>
    </w:p>
    <w:p w14:paraId="28AA6A40">
      <w:pPr>
        <w:tabs>
          <w:tab w:val="left" w:pos="8280"/>
        </w:tabs>
        <w:adjustRightInd w:val="0"/>
        <w:snapToGrid w:val="0"/>
        <w:ind w:firstLine="200"/>
        <w:jc w:val="left"/>
        <w:rPr>
          <w:color w:val="auto"/>
        </w:rPr>
      </w:pPr>
      <w:r>
        <w:rPr>
          <w:color w:val="auto"/>
        </w:rPr>
        <w:t xml:space="preserve">                                                   202</w:t>
      </w:r>
      <w:r>
        <w:rPr>
          <w:rFonts w:hint="eastAsia"/>
          <w:color w:val="auto"/>
          <w:lang w:val="en-US" w:eastAsia="zh-CN"/>
        </w:rPr>
        <w:t>5</w:t>
      </w:r>
      <w:r>
        <w:rPr>
          <w:color w:val="auto"/>
        </w:rPr>
        <w:t>年</w:t>
      </w:r>
      <w:r>
        <w:rPr>
          <w:rFonts w:hint="eastAsia"/>
          <w:color w:val="auto"/>
          <w:lang w:val="en-US" w:eastAsia="zh-CN"/>
        </w:rPr>
        <w:t>11</w:t>
      </w:r>
      <w:r>
        <w:rPr>
          <w:color w:val="auto"/>
        </w:rPr>
        <w:t>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6F"/>
    <w:rsid w:val="001F6D6F"/>
    <w:rsid w:val="00A145E8"/>
    <w:rsid w:val="00AF45F1"/>
    <w:rsid w:val="20565308"/>
    <w:rsid w:val="2BCA6B15"/>
    <w:rsid w:val="50817A6A"/>
    <w:rsid w:val="79F72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Indent"/>
    <w:basedOn w:val="1"/>
    <w:link w:val="12"/>
    <w:semiHidden/>
    <w:unhideWhenUsed/>
    <w:uiPriority w:val="99"/>
    <w:pPr>
      <w:spacing w:after="120"/>
      <w:ind w:left="420" w:leftChars="200"/>
    </w:pPr>
  </w:style>
  <w:style w:type="paragraph" w:styleId="4">
    <w:name w:val="Plain Text"/>
    <w:basedOn w:val="1"/>
    <w:link w:val="9"/>
    <w:unhideWhenUsed/>
    <w:qFormat/>
    <w:uiPriority w:val="0"/>
    <w:rPr>
      <w:rFonts w:ascii="宋体" w:hAnsi="Courier New"/>
      <w:szCs w:val="20"/>
    </w:rPr>
  </w:style>
  <w:style w:type="paragraph" w:styleId="5">
    <w:name w:val="Body Text First Indent 2"/>
    <w:basedOn w:val="3"/>
    <w:link w:val="13"/>
    <w:semiHidden/>
    <w:unhideWhenUsed/>
    <w:qFormat/>
    <w:uiPriority w:val="99"/>
    <w:pPr>
      <w:ind w:firstLine="420" w:firstLineChars="200"/>
    </w:pPr>
  </w:style>
  <w:style w:type="character" w:styleId="8">
    <w:name w:val="Hyperlink"/>
    <w:basedOn w:val="7"/>
    <w:unhideWhenUsed/>
    <w:qFormat/>
    <w:uiPriority w:val="99"/>
    <w:rPr>
      <w:color w:val="0026E5" w:themeColor="hyperlink"/>
      <w:u w:val="single"/>
      <w14:textFill>
        <w14:solidFill>
          <w14:schemeClr w14:val="hlink"/>
        </w14:solidFill>
      </w14:textFill>
    </w:rPr>
  </w:style>
  <w:style w:type="character" w:customStyle="1" w:styleId="9">
    <w:name w:val="纯文本 字符"/>
    <w:basedOn w:val="7"/>
    <w:link w:val="4"/>
    <w:qFormat/>
    <w:uiPriority w:val="0"/>
    <w:rPr>
      <w:rFonts w:ascii="宋体" w:hAnsi="Courier New" w:eastAsia="宋体" w:cs="Times New Roman"/>
      <w:kern w:val="2"/>
      <w:sz w:val="24"/>
    </w:rPr>
  </w:style>
  <w:style w:type="character" w:customStyle="1" w:styleId="10">
    <w:name w:val="报告书正文样式1 Char"/>
    <w:link w:val="11"/>
    <w:qFormat/>
    <w:uiPriority w:val="0"/>
    <w:rPr>
      <w:rFonts w:ascii="Arial" w:hAnsi="Arial" w:cs="Arial"/>
      <w:sz w:val="24"/>
      <w:szCs w:val="24"/>
    </w:rPr>
  </w:style>
  <w:style w:type="paragraph" w:customStyle="1" w:styleId="11">
    <w:name w:val="报告书正文样式1"/>
    <w:basedOn w:val="1"/>
    <w:link w:val="10"/>
    <w:qFormat/>
    <w:uiPriority w:val="0"/>
    <w:pPr>
      <w:adjustRightInd w:val="0"/>
      <w:snapToGrid w:val="0"/>
      <w:ind w:firstLine="425"/>
      <w:textAlignment w:val="baseline"/>
    </w:pPr>
    <w:rPr>
      <w:rFonts w:ascii="Arial" w:hAnsi="Arial" w:cs="Arial" w:eastAsiaTheme="minorEastAsia"/>
      <w:kern w:val="0"/>
      <w:szCs w:val="24"/>
    </w:rPr>
  </w:style>
  <w:style w:type="character" w:customStyle="1" w:styleId="12">
    <w:name w:val="正文文本缩进 字符"/>
    <w:basedOn w:val="7"/>
    <w:link w:val="3"/>
    <w:semiHidden/>
    <w:qFormat/>
    <w:uiPriority w:val="99"/>
    <w:rPr>
      <w:rFonts w:ascii="Times New Roman" w:hAnsi="Times New Roman" w:eastAsia="宋体" w:cs="Times New Roman"/>
      <w:kern w:val="2"/>
      <w:sz w:val="24"/>
      <w:szCs w:val="21"/>
    </w:rPr>
  </w:style>
  <w:style w:type="character" w:customStyle="1" w:styleId="13">
    <w:name w:val="正文首行缩进 2 字符"/>
    <w:basedOn w:val="12"/>
    <w:link w:val="5"/>
    <w:semiHidden/>
    <w:qFormat/>
    <w:uiPriority w:val="99"/>
    <w:rPr>
      <w:rFonts w:ascii="Times New Roman" w:hAnsi="Times New Roman" w:eastAsia="宋体" w:cs="Times New Roman"/>
      <w:kern w:val="2"/>
      <w:sz w:val="24"/>
      <w:szCs w:val="21"/>
    </w:rPr>
  </w:style>
  <w:style w:type="paragraph" w:customStyle="1" w:styleId="14">
    <w:name w:val="报告书正文"/>
    <w:basedOn w:val="1"/>
    <w:qFormat/>
    <w:uiPriority w:val="0"/>
    <w:pPr>
      <w:adjustRightInd w:val="0"/>
      <w:spacing w:line="360" w:lineRule="exact"/>
      <w:ind w:firstLine="454"/>
      <w:textAlignment w:val="baseline"/>
    </w:pPr>
    <w:rPr>
      <w:rFonts w:asciiTheme="minorHAnsi" w:hAnsiTheme="minorHAnsi" w:cstheme="minorBidi"/>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2605</Words>
  <Characters>2990</Characters>
  <Lines>21</Lines>
  <Paragraphs>5</Paragraphs>
  <TotalTime>2</TotalTime>
  <ScaleCrop>false</ScaleCrop>
  <LinksUpToDate>false</LinksUpToDate>
  <CharactersWithSpaces>3096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2024-09-11T01:04:00Z</dcterms:created>
  <dc:creator>Lenovo</dc:creator>
  <cp:lastModifiedBy>戯</cp:lastModifiedBy>
  <dcterms:modified xsi:type="dcterms:W3CDTF">2025-11-17T03:53:44Z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eyJoZGlkIjoiYjkwZjdmYmQ4MjA0ODYxNTYyNjAxYmY1MGZiNTA2MTMiLCJ1c2VySWQiOiIzOTExMTA3MjIifQ==</vt:lpwstr>
  </property>
  <property fmtid="{D5CDD505-2E9C-101B-9397-08002B2CF9AE}" pid="3" name="KSOProductBuildVer">
    <vt:lpwstr>2052-12.1.0.23542</vt:lpwstr>
  </property>
  <property fmtid="{D5CDD505-2E9C-101B-9397-08002B2CF9AE}" pid="4" name="ICV">
    <vt:lpwstr>87BFA5E9A99E4D8EA7BBD82A35476410_13</vt:lpwstr>
  </property>
</Properties>
</file>